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A698D" w14:textId="1C2374BC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4"/>
          <w:szCs w:val="24"/>
        </w:rPr>
      </w:pPr>
      <w:r w:rsidRPr="001A297A">
        <w:rPr>
          <w:rFonts w:ascii="Arial" w:hAnsi="Arial" w:cs="Arial"/>
          <w:b/>
          <w:bCs/>
          <w:sz w:val="24"/>
          <w:szCs w:val="24"/>
        </w:rPr>
        <w:t>Załącznik nr 3 do Regulaminu Komitetu Monitorującego program Fundusze Europejskie na</w:t>
      </w:r>
    </w:p>
    <w:p w14:paraId="5B036CB1" w14:textId="29F0C2B4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bCs/>
          <w:sz w:val="24"/>
          <w:szCs w:val="24"/>
        </w:rPr>
      </w:pPr>
      <w:r w:rsidRPr="001A297A">
        <w:rPr>
          <w:rFonts w:ascii="Arial" w:hAnsi="Arial" w:cs="Arial"/>
          <w:b/>
          <w:bCs/>
          <w:sz w:val="24"/>
          <w:szCs w:val="24"/>
        </w:rPr>
        <w:t>Rozwój Cyfrowy 2021-</w:t>
      </w:r>
      <w:r w:rsidR="00993429" w:rsidRPr="001A297A">
        <w:rPr>
          <w:rFonts w:ascii="Arial" w:hAnsi="Arial" w:cs="Arial"/>
          <w:b/>
          <w:bCs/>
          <w:sz w:val="24"/>
          <w:szCs w:val="24"/>
        </w:rPr>
        <w:t>2</w:t>
      </w:r>
      <w:r w:rsidRPr="001A297A">
        <w:rPr>
          <w:rFonts w:ascii="Arial" w:hAnsi="Arial" w:cs="Arial"/>
          <w:b/>
          <w:bCs/>
          <w:sz w:val="24"/>
          <w:szCs w:val="24"/>
        </w:rPr>
        <w:t>027</w:t>
      </w:r>
    </w:p>
    <w:p w14:paraId="67CBB8CE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6DB35E" w14:textId="0E80370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A297A">
        <w:rPr>
          <w:rFonts w:ascii="Arial" w:hAnsi="Arial" w:cs="Arial"/>
          <w:b/>
          <w:bCs/>
          <w:sz w:val="24"/>
          <w:szCs w:val="24"/>
        </w:rPr>
        <w:t>Prawa i obowiązki członka Komitetu oraz zastępcy członka Komitetu</w:t>
      </w:r>
    </w:p>
    <w:p w14:paraId="2A7AE110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486FAA8" w14:textId="0D7DB44F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A297A">
        <w:rPr>
          <w:rFonts w:ascii="Arial" w:hAnsi="Arial" w:cs="Arial"/>
          <w:b/>
          <w:bCs/>
          <w:sz w:val="24"/>
          <w:szCs w:val="24"/>
        </w:rPr>
        <w:t>Członkowie Komitetu oraz ich zastępcy mają prawo do:</w:t>
      </w:r>
    </w:p>
    <w:p w14:paraId="294AF33F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1) udziału w głosowaniach oraz do dyskusji na posiedzeniach Komitetu;</w:t>
      </w:r>
    </w:p>
    <w:p w14:paraId="3B628729" w14:textId="1EC697D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2) przedstawiania stanowisk i opinii środowisk</w:t>
      </w:r>
      <w:r w:rsidR="00900642" w:rsidRPr="001A297A">
        <w:rPr>
          <w:rFonts w:ascii="Arial" w:hAnsi="Arial" w:cs="Arial"/>
          <w:sz w:val="24"/>
          <w:szCs w:val="24"/>
        </w:rPr>
        <w:t xml:space="preserve">, które reprezentują oraz zgłaszania </w:t>
      </w:r>
      <w:proofErr w:type="spellStart"/>
      <w:r w:rsidR="00900642" w:rsidRPr="001A297A">
        <w:rPr>
          <w:rFonts w:ascii="Arial" w:hAnsi="Arial" w:cs="Arial"/>
          <w:sz w:val="24"/>
          <w:szCs w:val="24"/>
        </w:rPr>
        <w:t>ryzyk</w:t>
      </w:r>
      <w:proofErr w:type="spellEnd"/>
      <w:r w:rsidR="00900642" w:rsidRPr="001A297A">
        <w:rPr>
          <w:rFonts w:ascii="Arial" w:hAnsi="Arial" w:cs="Arial"/>
          <w:sz w:val="24"/>
          <w:szCs w:val="24"/>
        </w:rPr>
        <w:t xml:space="preserve"> dotyczących naruszeń praw podstawowych</w:t>
      </w:r>
      <w:r w:rsidRPr="001A297A">
        <w:rPr>
          <w:rFonts w:ascii="Arial" w:hAnsi="Arial" w:cs="Arial"/>
          <w:sz w:val="24"/>
          <w:szCs w:val="24"/>
        </w:rPr>
        <w:t>;</w:t>
      </w:r>
    </w:p>
    <w:p w14:paraId="043937A6" w14:textId="028AB822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 xml:space="preserve">3) konsultowania się z reprezentowanymi środowiskami (z zastrzeżeniem statusu procedowanych dokumentów jako </w:t>
      </w:r>
      <w:r w:rsidR="0013216B" w:rsidRPr="001A297A">
        <w:rPr>
          <w:rFonts w:ascii="Arial" w:hAnsi="Arial" w:cs="Arial"/>
          <w:sz w:val="24"/>
          <w:szCs w:val="24"/>
        </w:rPr>
        <w:t xml:space="preserve">nieobowiązujących </w:t>
      </w:r>
      <w:r w:rsidRPr="001A297A">
        <w:rPr>
          <w:rFonts w:ascii="Arial" w:hAnsi="Arial" w:cs="Arial"/>
          <w:sz w:val="24"/>
          <w:szCs w:val="24"/>
        </w:rPr>
        <w:t>do czasu podjęcia przez Komitet decyzji w danej sprawie);</w:t>
      </w:r>
    </w:p>
    <w:p w14:paraId="22187E86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4) uczestnictwa w pracach grup roboczych;</w:t>
      </w:r>
    </w:p>
    <w:p w14:paraId="20BA9C65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5) wnioskowania o powołanie grupy roboczej;</w:t>
      </w:r>
    </w:p>
    <w:p w14:paraId="367CC8E8" w14:textId="7774701A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6) wnioskowania o informacje związane z zagadnieniami rozpatrywanymi przez Komitet (określając w uzgodnieniu z Przewodniczącym Komitetu termin i formę ich udzielenia);</w:t>
      </w:r>
    </w:p>
    <w:p w14:paraId="2D925801" w14:textId="42C1DA4B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7) dostępu do dokumentów odnoszących się do rozpatrywanych kwestii niezależnie od etapu prac nad tymi dokumentami;</w:t>
      </w:r>
    </w:p>
    <w:p w14:paraId="535CE639" w14:textId="3571B661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8) wnioskowania o zaproszenie na posiedzenie Komitetu osób właściwych ze względu na rozpatrywaną kwestię;</w:t>
      </w:r>
    </w:p>
    <w:p w14:paraId="43DC66C1" w14:textId="1619C155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9) wnioskowania za pośrednictwem sekretariatu Komitetu o realizację ekspertyz z</w:t>
      </w:r>
      <w:r w:rsidR="001A297A">
        <w:rPr>
          <w:rFonts w:ascii="Arial" w:hAnsi="Arial" w:cs="Arial"/>
          <w:sz w:val="24"/>
          <w:szCs w:val="24"/>
        </w:rPr>
        <w:t> </w:t>
      </w:r>
      <w:r w:rsidRPr="001A297A">
        <w:rPr>
          <w:rFonts w:ascii="Arial" w:hAnsi="Arial" w:cs="Arial"/>
          <w:sz w:val="24"/>
          <w:szCs w:val="24"/>
        </w:rPr>
        <w:t>obszaru dotyczącego FE</w:t>
      </w:r>
      <w:r w:rsidR="0044572C" w:rsidRPr="001A297A">
        <w:rPr>
          <w:rFonts w:ascii="Arial" w:hAnsi="Arial" w:cs="Arial"/>
          <w:sz w:val="24"/>
          <w:szCs w:val="24"/>
        </w:rPr>
        <w:t>RC</w:t>
      </w:r>
      <w:r w:rsidRPr="001A297A">
        <w:rPr>
          <w:rFonts w:ascii="Arial" w:hAnsi="Arial" w:cs="Arial"/>
          <w:sz w:val="24"/>
          <w:szCs w:val="24"/>
        </w:rPr>
        <w:t xml:space="preserve"> na potrzeby Komitetu lub grupy roboczej;</w:t>
      </w:r>
    </w:p>
    <w:p w14:paraId="45499112" w14:textId="751A93B8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10) wnioskowania o organizację za pośrednictwem sekretariatu Komitetu szkoleń z</w:t>
      </w:r>
      <w:r w:rsidR="001A297A">
        <w:rPr>
          <w:rFonts w:ascii="Arial" w:hAnsi="Arial" w:cs="Arial"/>
          <w:sz w:val="24"/>
          <w:szCs w:val="24"/>
        </w:rPr>
        <w:t> </w:t>
      </w:r>
      <w:r w:rsidRPr="001A297A">
        <w:rPr>
          <w:rFonts w:ascii="Arial" w:hAnsi="Arial" w:cs="Arial"/>
          <w:sz w:val="24"/>
          <w:szCs w:val="24"/>
        </w:rPr>
        <w:t>obszaru dotyczącego FE</w:t>
      </w:r>
      <w:r w:rsidR="0044572C" w:rsidRPr="001A297A">
        <w:rPr>
          <w:rFonts w:ascii="Arial" w:hAnsi="Arial" w:cs="Arial"/>
          <w:sz w:val="24"/>
          <w:szCs w:val="24"/>
        </w:rPr>
        <w:t>RC</w:t>
      </w:r>
      <w:r w:rsidRPr="001A297A">
        <w:rPr>
          <w:rFonts w:ascii="Arial" w:hAnsi="Arial" w:cs="Arial"/>
          <w:sz w:val="24"/>
          <w:szCs w:val="24"/>
        </w:rPr>
        <w:t xml:space="preserve"> dla członków Komitetu i ich zastępców;</w:t>
      </w:r>
    </w:p>
    <w:p w14:paraId="324F4A2A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11) udziału w szkoleniach, o których mowa w pkt 10;</w:t>
      </w:r>
    </w:p>
    <w:p w14:paraId="0560DE8C" w14:textId="01FA2C68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 xml:space="preserve">12) otrzymania jako partnerzy, będący członkami Komitetu, finansowania kosztów wymienionych w § </w:t>
      </w:r>
      <w:r w:rsidR="0044572C" w:rsidRPr="001A297A">
        <w:rPr>
          <w:rFonts w:ascii="Arial" w:hAnsi="Arial" w:cs="Arial"/>
          <w:sz w:val="24"/>
          <w:szCs w:val="24"/>
        </w:rPr>
        <w:t>10</w:t>
      </w:r>
      <w:r w:rsidRPr="001A297A">
        <w:rPr>
          <w:rFonts w:ascii="Arial" w:hAnsi="Arial" w:cs="Arial"/>
          <w:sz w:val="24"/>
          <w:szCs w:val="24"/>
        </w:rPr>
        <w:t xml:space="preserve"> </w:t>
      </w:r>
      <w:r w:rsidR="0044572C" w:rsidRPr="001A297A">
        <w:rPr>
          <w:rFonts w:ascii="Arial" w:hAnsi="Arial" w:cs="Arial"/>
          <w:sz w:val="24"/>
          <w:szCs w:val="24"/>
        </w:rPr>
        <w:t xml:space="preserve">ust. 3 </w:t>
      </w:r>
      <w:r w:rsidRPr="001A297A">
        <w:rPr>
          <w:rFonts w:ascii="Arial" w:hAnsi="Arial" w:cs="Arial"/>
          <w:sz w:val="24"/>
          <w:szCs w:val="24"/>
        </w:rPr>
        <w:t>Regulaminu;</w:t>
      </w:r>
    </w:p>
    <w:p w14:paraId="193FDAED" w14:textId="17A202BE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13) otrzymania jako partnerzy określeni w art. 8 ust. 1 lit. b), c) i d) rozporządzenia ogólnego, będący członkami Komitetu, finansowania kosztów wskazanych w §</w:t>
      </w:r>
      <w:r w:rsidR="0044572C" w:rsidRPr="001A297A">
        <w:rPr>
          <w:rFonts w:ascii="Arial" w:hAnsi="Arial" w:cs="Arial"/>
          <w:sz w:val="24"/>
          <w:szCs w:val="24"/>
        </w:rPr>
        <w:t>10</w:t>
      </w:r>
      <w:r w:rsidRPr="001A297A">
        <w:rPr>
          <w:rFonts w:ascii="Arial" w:hAnsi="Arial" w:cs="Arial"/>
          <w:sz w:val="24"/>
          <w:szCs w:val="24"/>
        </w:rPr>
        <w:t xml:space="preserve"> ust. </w:t>
      </w:r>
      <w:r w:rsidR="0044572C" w:rsidRPr="001A297A">
        <w:rPr>
          <w:rFonts w:ascii="Arial" w:hAnsi="Arial" w:cs="Arial"/>
          <w:sz w:val="24"/>
          <w:szCs w:val="24"/>
        </w:rPr>
        <w:t>1</w:t>
      </w:r>
      <w:r w:rsidR="00077018" w:rsidRPr="001A297A">
        <w:rPr>
          <w:rFonts w:ascii="Arial" w:hAnsi="Arial" w:cs="Arial"/>
          <w:sz w:val="24"/>
          <w:szCs w:val="24"/>
        </w:rPr>
        <w:t>2</w:t>
      </w:r>
      <w:r w:rsidRPr="001A297A">
        <w:rPr>
          <w:rFonts w:ascii="Arial" w:hAnsi="Arial" w:cs="Arial"/>
          <w:sz w:val="24"/>
          <w:szCs w:val="24"/>
        </w:rPr>
        <w:t xml:space="preserve"> Regulaminu;</w:t>
      </w:r>
    </w:p>
    <w:p w14:paraId="30850AFB" w14:textId="3D4FE11B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14) zwrotu kosztów przejazdu i zakwaterowania, jeżeli obrady odbywają się poza miejscem zamieszkania (w przypadku gdy nie ma zapewnionego dojazdu oraz zakwaterowania), z</w:t>
      </w:r>
      <w:r w:rsidR="00CE71FA" w:rsidRPr="001A297A">
        <w:rPr>
          <w:rFonts w:ascii="Arial" w:hAnsi="Arial" w:cs="Arial"/>
          <w:sz w:val="24"/>
          <w:szCs w:val="24"/>
        </w:rPr>
        <w:t> </w:t>
      </w:r>
      <w:r w:rsidRPr="001A297A">
        <w:rPr>
          <w:rFonts w:ascii="Arial" w:hAnsi="Arial" w:cs="Arial"/>
          <w:sz w:val="24"/>
          <w:szCs w:val="24"/>
        </w:rPr>
        <w:t>uwzględnieniem, że przy jednoczesnej obecności na posiedzeniu członka Komitetu i zastępcy finansowanie przysługuje za zgodą Instytucji Zarządzającej zarówno członkowi Komitetu, jak i</w:t>
      </w:r>
      <w:r w:rsidR="001A297A">
        <w:rPr>
          <w:rFonts w:ascii="Arial" w:hAnsi="Arial" w:cs="Arial"/>
          <w:sz w:val="24"/>
          <w:szCs w:val="24"/>
        </w:rPr>
        <w:t xml:space="preserve"> </w:t>
      </w:r>
      <w:r w:rsidRPr="001A297A">
        <w:rPr>
          <w:rFonts w:ascii="Arial" w:hAnsi="Arial" w:cs="Arial"/>
          <w:sz w:val="24"/>
          <w:szCs w:val="24"/>
        </w:rPr>
        <w:t>jego zastępcy;</w:t>
      </w:r>
    </w:p>
    <w:p w14:paraId="3E68896F" w14:textId="29EA8BFA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15) wnioskowania o przedstawienie informacji na temat stopnia realizacji wybranych rekomendacji pochodzących z badań ewaluacyjnych;</w:t>
      </w:r>
    </w:p>
    <w:p w14:paraId="37DD0BC7" w14:textId="3C7B977C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16) wnioskowania o realizację danego posiedzenia Komitetu w jednej z</w:t>
      </w:r>
      <w:r w:rsidR="001A297A">
        <w:rPr>
          <w:rFonts w:ascii="Arial" w:hAnsi="Arial" w:cs="Arial"/>
          <w:sz w:val="24"/>
          <w:szCs w:val="24"/>
        </w:rPr>
        <w:t> </w:t>
      </w:r>
      <w:r w:rsidRPr="001A297A">
        <w:rPr>
          <w:rFonts w:ascii="Arial" w:hAnsi="Arial" w:cs="Arial"/>
          <w:sz w:val="24"/>
          <w:szCs w:val="24"/>
        </w:rPr>
        <w:t>przewidzianych form;</w:t>
      </w:r>
    </w:p>
    <w:p w14:paraId="10B31571" w14:textId="43BBE262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17) uczestnictwa w działaniach ewaluacyjnych dotyczących obszarów szczególnie ważnych dla reprezentowanego przezeń środowiska</w:t>
      </w:r>
      <w:r w:rsidR="00900642" w:rsidRPr="001A297A">
        <w:rPr>
          <w:rFonts w:ascii="Arial" w:hAnsi="Arial" w:cs="Arial"/>
          <w:sz w:val="24"/>
          <w:szCs w:val="24"/>
        </w:rPr>
        <w:t>;</w:t>
      </w:r>
    </w:p>
    <w:p w14:paraId="392BC46D" w14:textId="56A3A646" w:rsidR="00900642" w:rsidRPr="001A297A" w:rsidRDefault="00900642" w:rsidP="00A44045">
      <w:pPr>
        <w:pStyle w:val="body"/>
        <w:spacing w:after="120" w:line="240" w:lineRule="auto"/>
        <w:ind w:right="143"/>
        <w:rPr>
          <w:rFonts w:ascii="Arial" w:eastAsiaTheme="minorHAnsi" w:hAnsi="Arial" w:cs="Arial"/>
          <w:szCs w:val="24"/>
        </w:rPr>
      </w:pPr>
      <w:r w:rsidRPr="001A297A">
        <w:rPr>
          <w:rFonts w:ascii="Arial" w:hAnsi="Arial" w:cs="Arial"/>
          <w:szCs w:val="24"/>
        </w:rPr>
        <w:t xml:space="preserve">18) </w:t>
      </w:r>
      <w:r w:rsidRPr="001A297A">
        <w:rPr>
          <w:rFonts w:ascii="Arial" w:eastAsiaTheme="minorHAnsi" w:hAnsi="Arial" w:cs="Arial"/>
          <w:szCs w:val="24"/>
        </w:rPr>
        <w:t xml:space="preserve">otrzymywania zbiorczej informacji o zgłoszeniach i przypadkach niezgodności interwencji realizowanej w ramach programu FERC z przepisami Karty praw </w:t>
      </w:r>
      <w:r w:rsidRPr="001A297A">
        <w:rPr>
          <w:rFonts w:ascii="Arial" w:eastAsiaTheme="minorHAnsi" w:hAnsi="Arial" w:cs="Arial"/>
          <w:szCs w:val="24"/>
        </w:rPr>
        <w:lastRenderedPageBreak/>
        <w:t>podstawowych UE (KPP) oraz Konwencji ONZ o prawach osób niepełnosprawnych (KPON).</w:t>
      </w:r>
    </w:p>
    <w:p w14:paraId="404D7D2E" w14:textId="77777777" w:rsidR="00900642" w:rsidRPr="001A297A" w:rsidRDefault="00900642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14A4F11" w14:textId="208687EB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A297A">
        <w:rPr>
          <w:rFonts w:ascii="Arial" w:hAnsi="Arial" w:cs="Arial"/>
          <w:b/>
          <w:bCs/>
          <w:sz w:val="24"/>
          <w:szCs w:val="24"/>
        </w:rPr>
        <w:t>Członkowie Komitetu oraz ich zastępcy mają obowiązek:</w:t>
      </w:r>
    </w:p>
    <w:p w14:paraId="4812F008" w14:textId="6C6F3F3E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1) aktywnego uczestniczenia w posiedzeniach Komitetu, w tym udziału w</w:t>
      </w:r>
      <w:r w:rsidR="001A297A">
        <w:rPr>
          <w:rFonts w:ascii="Arial" w:hAnsi="Arial" w:cs="Arial"/>
          <w:sz w:val="24"/>
          <w:szCs w:val="24"/>
        </w:rPr>
        <w:t> </w:t>
      </w:r>
      <w:r w:rsidRPr="001A297A">
        <w:rPr>
          <w:rFonts w:ascii="Arial" w:hAnsi="Arial" w:cs="Arial"/>
          <w:sz w:val="24"/>
          <w:szCs w:val="24"/>
        </w:rPr>
        <w:t>głosowaniach;</w:t>
      </w:r>
    </w:p>
    <w:p w14:paraId="198F4477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2) głosowania w trybie obiegowym;</w:t>
      </w:r>
    </w:p>
    <w:p w14:paraId="28424FBD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3) informowania o planowanej nieobecności na posiedzeniu Komitetu;</w:t>
      </w:r>
    </w:p>
    <w:p w14:paraId="168FE838" w14:textId="02DA2D81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 xml:space="preserve">4) uczestniczenia w posiedzeniu Komitetu zastępcy </w:t>
      </w:r>
      <w:r w:rsidR="001E11C7" w:rsidRPr="001A297A">
        <w:rPr>
          <w:rFonts w:ascii="Arial" w:hAnsi="Arial" w:cs="Arial"/>
          <w:sz w:val="24"/>
          <w:szCs w:val="24"/>
        </w:rPr>
        <w:t xml:space="preserve">lub osoby wskazanej w §2 ust. 10 </w:t>
      </w:r>
      <w:r w:rsidR="00F174B7" w:rsidRPr="001A297A">
        <w:rPr>
          <w:rFonts w:ascii="Arial" w:hAnsi="Arial" w:cs="Arial"/>
          <w:sz w:val="24"/>
          <w:szCs w:val="24"/>
        </w:rPr>
        <w:t xml:space="preserve">Regulaminu </w:t>
      </w:r>
      <w:r w:rsidRPr="001A297A">
        <w:rPr>
          <w:rFonts w:ascii="Arial" w:hAnsi="Arial" w:cs="Arial"/>
          <w:sz w:val="24"/>
          <w:szCs w:val="24"/>
        </w:rPr>
        <w:t>w</w:t>
      </w:r>
      <w:r w:rsidR="001E11C7" w:rsidRPr="001A297A">
        <w:rPr>
          <w:rFonts w:ascii="Arial" w:hAnsi="Arial" w:cs="Arial"/>
          <w:sz w:val="24"/>
          <w:szCs w:val="24"/>
        </w:rPr>
        <w:t> </w:t>
      </w:r>
      <w:r w:rsidRPr="001A297A">
        <w:rPr>
          <w:rFonts w:ascii="Arial" w:hAnsi="Arial" w:cs="Arial"/>
          <w:sz w:val="24"/>
          <w:szCs w:val="24"/>
        </w:rPr>
        <w:t>przypadku planowanej nieobecności członka Komitetu;</w:t>
      </w:r>
    </w:p>
    <w:p w14:paraId="54BF76CE" w14:textId="613B6B10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5) przedstawiania opinii reprezentowanych środowisk na posiedzeniach Komitetu oraz przekazywania tym środowiskom informacji zwrotnej o postępie wdrażania programu;</w:t>
      </w:r>
    </w:p>
    <w:p w14:paraId="503DAD27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6) informowania i promowania programu w reprezentowanych środowiskach;</w:t>
      </w:r>
    </w:p>
    <w:p w14:paraId="5504AAE7" w14:textId="3E78F54A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7) zapoznania się z postępami w zakresie osiągania poszczególnych celów programu;</w:t>
      </w:r>
    </w:p>
    <w:p w14:paraId="12D84FA3" w14:textId="22463B0F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8) zapoznania się z dokumentacją dotyczącą zagadnień omawianych na posiedzeniu Komitetu;</w:t>
      </w:r>
    </w:p>
    <w:p w14:paraId="6C757D7A" w14:textId="706E450F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9) zapoznania się z przedstawionymi przez sekretariat Komitetu dokumentami poświęconymi wdrażaniu programu;</w:t>
      </w:r>
    </w:p>
    <w:p w14:paraId="725B9187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10) proponowania ewentualnych rozwiązań usprawniających realizację programu;</w:t>
      </w:r>
    </w:p>
    <w:p w14:paraId="3DEACA93" w14:textId="77777777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11) analizowania propozycji Instytucji Zarządzającej w zakresie zmian programu;</w:t>
      </w:r>
    </w:p>
    <w:p w14:paraId="4DD37C82" w14:textId="563D60E0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12) zapewnienia poinformowania Przewodniczącego Komitetu o zmianach w składzie Komitetu;</w:t>
      </w:r>
    </w:p>
    <w:p w14:paraId="0BBA4DEA" w14:textId="1E6E63E5" w:rsidR="00DE6B83" w:rsidRPr="001A297A" w:rsidRDefault="00DE6B83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13) przeanalizowania czy podejmowanie działań w zakresie prac danego posiedzenia lub względem wybranych punktów porządku obrad Komitetu nie spowoduje konfliktu interesów;</w:t>
      </w:r>
    </w:p>
    <w:p w14:paraId="71336787" w14:textId="30A90FC4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</w:t>
      </w:r>
      <w:r w:rsidR="00DE6B83" w:rsidRPr="001A297A">
        <w:rPr>
          <w:rFonts w:ascii="Arial" w:hAnsi="Arial" w:cs="Arial"/>
          <w:sz w:val="24"/>
          <w:szCs w:val="24"/>
        </w:rPr>
        <w:t>4</w:t>
      </w:r>
      <w:r w:rsidRPr="001A297A">
        <w:rPr>
          <w:rFonts w:ascii="Arial" w:hAnsi="Arial" w:cs="Arial"/>
          <w:sz w:val="24"/>
          <w:szCs w:val="24"/>
        </w:rPr>
        <w:t xml:space="preserve">) ujawnienia konfliktu interesów dotyczącego swojej osoby </w:t>
      </w:r>
      <w:r w:rsidR="00DE6B83" w:rsidRPr="001A297A">
        <w:rPr>
          <w:rFonts w:ascii="Arial" w:hAnsi="Arial" w:cs="Arial"/>
          <w:sz w:val="24"/>
          <w:szCs w:val="24"/>
        </w:rPr>
        <w:t>poprzez złożenie do sekretariatu Komitetu zgłoszenia zgodnie z §9 ust. 4</w:t>
      </w:r>
      <w:r w:rsidR="00F174B7" w:rsidRPr="001A297A">
        <w:rPr>
          <w:rFonts w:ascii="Arial" w:hAnsi="Arial" w:cs="Arial"/>
          <w:sz w:val="24"/>
          <w:szCs w:val="24"/>
        </w:rPr>
        <w:t xml:space="preserve"> Regulaminu</w:t>
      </w:r>
      <w:r w:rsidR="00DE6B83" w:rsidRPr="001A297A">
        <w:rPr>
          <w:rFonts w:ascii="Arial" w:hAnsi="Arial" w:cs="Arial"/>
          <w:sz w:val="24"/>
          <w:szCs w:val="24"/>
        </w:rPr>
        <w:t xml:space="preserve"> </w:t>
      </w:r>
      <w:r w:rsidRPr="001A297A">
        <w:rPr>
          <w:rFonts w:ascii="Arial" w:hAnsi="Arial" w:cs="Arial"/>
          <w:sz w:val="24"/>
          <w:szCs w:val="24"/>
        </w:rPr>
        <w:t>i wyłączenia się z</w:t>
      </w:r>
      <w:r w:rsidR="001A297A">
        <w:rPr>
          <w:rFonts w:ascii="Arial" w:hAnsi="Arial" w:cs="Arial"/>
          <w:sz w:val="24"/>
          <w:szCs w:val="24"/>
        </w:rPr>
        <w:t> </w:t>
      </w:r>
      <w:r w:rsidR="00DE6B83" w:rsidRPr="001A297A">
        <w:rPr>
          <w:rFonts w:ascii="Arial" w:hAnsi="Arial" w:cs="Arial"/>
          <w:sz w:val="24"/>
          <w:szCs w:val="24"/>
        </w:rPr>
        <w:t>prac Komitetu,</w:t>
      </w:r>
      <w:r w:rsidRPr="001A297A">
        <w:rPr>
          <w:rFonts w:ascii="Arial" w:hAnsi="Arial" w:cs="Arial"/>
          <w:sz w:val="24"/>
          <w:szCs w:val="24"/>
        </w:rPr>
        <w:t xml:space="preserve"> w zakresie którego </w:t>
      </w:r>
      <w:r w:rsidR="00DE6B83" w:rsidRPr="001A297A">
        <w:rPr>
          <w:rFonts w:ascii="Arial" w:hAnsi="Arial" w:cs="Arial"/>
          <w:sz w:val="24"/>
          <w:szCs w:val="24"/>
        </w:rPr>
        <w:t xml:space="preserve">dotyczy </w:t>
      </w:r>
      <w:r w:rsidRPr="001A297A">
        <w:rPr>
          <w:rFonts w:ascii="Arial" w:hAnsi="Arial" w:cs="Arial"/>
          <w:sz w:val="24"/>
          <w:szCs w:val="24"/>
        </w:rPr>
        <w:t xml:space="preserve">konflikt </w:t>
      </w:r>
      <w:r w:rsidR="00DE6B83" w:rsidRPr="001A297A">
        <w:rPr>
          <w:rFonts w:ascii="Arial" w:hAnsi="Arial" w:cs="Arial"/>
          <w:sz w:val="24"/>
          <w:szCs w:val="24"/>
        </w:rPr>
        <w:t>interesów</w:t>
      </w:r>
      <w:r w:rsidR="002B788A" w:rsidRPr="001A297A">
        <w:rPr>
          <w:rFonts w:ascii="Arial" w:hAnsi="Arial" w:cs="Arial"/>
          <w:sz w:val="24"/>
          <w:szCs w:val="24"/>
        </w:rPr>
        <w:t xml:space="preserve"> oraz w przypadku okoliczności</w:t>
      </w:r>
      <w:r w:rsidR="00DE6B83" w:rsidRPr="001A297A">
        <w:rPr>
          <w:rFonts w:ascii="Arial" w:hAnsi="Arial" w:cs="Arial"/>
          <w:sz w:val="24"/>
          <w:szCs w:val="24"/>
        </w:rPr>
        <w:t>,</w:t>
      </w:r>
      <w:r w:rsidR="002B788A" w:rsidRPr="001A297A">
        <w:rPr>
          <w:rFonts w:ascii="Arial" w:hAnsi="Arial" w:cs="Arial"/>
          <w:sz w:val="24"/>
          <w:szCs w:val="24"/>
        </w:rPr>
        <w:t xml:space="preserve"> które mogą stanowić konflikt interesów,</w:t>
      </w:r>
      <w:r w:rsidR="00DE6B83" w:rsidRPr="001A297A">
        <w:rPr>
          <w:rFonts w:ascii="Arial" w:hAnsi="Arial" w:cs="Arial"/>
          <w:sz w:val="24"/>
          <w:szCs w:val="24"/>
        </w:rPr>
        <w:t xml:space="preserve"> wstrzymania się </w:t>
      </w:r>
      <w:r w:rsidR="002B788A" w:rsidRPr="001A297A">
        <w:rPr>
          <w:rFonts w:ascii="Arial" w:hAnsi="Arial" w:cs="Arial"/>
          <w:sz w:val="24"/>
          <w:szCs w:val="24"/>
        </w:rPr>
        <w:t>od uczestnictwa w pracach Komitetu w danym zakresie do czasu rozstrzygnięcia przez Przewodniczącego Komitetu</w:t>
      </w:r>
      <w:r w:rsidRPr="001A297A">
        <w:rPr>
          <w:rFonts w:ascii="Arial" w:hAnsi="Arial" w:cs="Arial"/>
          <w:sz w:val="24"/>
          <w:szCs w:val="24"/>
        </w:rPr>
        <w:t>;</w:t>
      </w:r>
    </w:p>
    <w:p w14:paraId="0E77B400" w14:textId="618E74CB" w:rsidR="001C5F51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</w:t>
      </w:r>
      <w:r w:rsidR="00DE6B83" w:rsidRPr="001A297A">
        <w:rPr>
          <w:rFonts w:ascii="Arial" w:hAnsi="Arial" w:cs="Arial"/>
          <w:sz w:val="24"/>
          <w:szCs w:val="24"/>
        </w:rPr>
        <w:t>5</w:t>
      </w:r>
      <w:r w:rsidRPr="001A297A">
        <w:rPr>
          <w:rFonts w:ascii="Arial" w:hAnsi="Arial" w:cs="Arial"/>
          <w:sz w:val="24"/>
          <w:szCs w:val="24"/>
        </w:rPr>
        <w:t>) podnoszenia kwalifikacji poprzez udział w szkoleniach organizowanych za pośrednictwem sekretariatu Komitetu;</w:t>
      </w:r>
    </w:p>
    <w:p w14:paraId="42BC32BC" w14:textId="3692969F" w:rsidR="009F42EC" w:rsidRPr="001A297A" w:rsidRDefault="001C5F51" w:rsidP="001C5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297A">
        <w:rPr>
          <w:rFonts w:ascii="Arial" w:hAnsi="Arial" w:cs="Arial"/>
          <w:sz w:val="24"/>
          <w:szCs w:val="24"/>
        </w:rPr>
        <w:t>1</w:t>
      </w:r>
      <w:r w:rsidR="00DE6B83" w:rsidRPr="001A297A">
        <w:rPr>
          <w:rFonts w:ascii="Arial" w:hAnsi="Arial" w:cs="Arial"/>
          <w:sz w:val="24"/>
          <w:szCs w:val="24"/>
        </w:rPr>
        <w:t>6</w:t>
      </w:r>
      <w:r w:rsidRPr="001A297A">
        <w:rPr>
          <w:rFonts w:ascii="Arial" w:hAnsi="Arial" w:cs="Arial"/>
          <w:sz w:val="24"/>
          <w:szCs w:val="24"/>
        </w:rPr>
        <w:t xml:space="preserve">) podpisania </w:t>
      </w:r>
      <w:r w:rsidR="007F531A" w:rsidRPr="001A297A">
        <w:rPr>
          <w:rFonts w:ascii="Arial" w:hAnsi="Arial" w:cs="Arial"/>
          <w:sz w:val="24"/>
          <w:szCs w:val="24"/>
        </w:rPr>
        <w:t xml:space="preserve">oświadczenia </w:t>
      </w:r>
      <w:r w:rsidRPr="001A297A">
        <w:rPr>
          <w:rFonts w:ascii="Arial" w:hAnsi="Arial" w:cs="Arial"/>
          <w:sz w:val="24"/>
          <w:szCs w:val="24"/>
        </w:rPr>
        <w:t xml:space="preserve">i złożenia </w:t>
      </w:r>
      <w:r w:rsidR="007F531A" w:rsidRPr="001A297A">
        <w:rPr>
          <w:rFonts w:ascii="Arial" w:hAnsi="Arial" w:cs="Arial"/>
          <w:sz w:val="24"/>
          <w:szCs w:val="24"/>
        </w:rPr>
        <w:t>go do sekretariatu Komitetu</w:t>
      </w:r>
      <w:r w:rsidRPr="001A297A">
        <w:rPr>
          <w:rFonts w:ascii="Arial" w:hAnsi="Arial" w:cs="Arial"/>
          <w:sz w:val="24"/>
          <w:szCs w:val="24"/>
        </w:rPr>
        <w:t xml:space="preserve">, o którym mowa w §2 ust. </w:t>
      </w:r>
      <w:r w:rsidR="0044572C" w:rsidRPr="001A297A">
        <w:rPr>
          <w:rFonts w:ascii="Arial" w:hAnsi="Arial" w:cs="Arial"/>
          <w:sz w:val="24"/>
          <w:szCs w:val="24"/>
        </w:rPr>
        <w:t>4</w:t>
      </w:r>
      <w:r w:rsidRPr="001A297A">
        <w:rPr>
          <w:rFonts w:ascii="Arial" w:hAnsi="Arial" w:cs="Arial"/>
          <w:sz w:val="24"/>
          <w:szCs w:val="24"/>
        </w:rPr>
        <w:t xml:space="preserve"> Regulaminu.</w:t>
      </w:r>
    </w:p>
    <w:sectPr w:rsidR="009F42EC" w:rsidRPr="001A29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74CB4" w14:textId="77777777" w:rsidR="00983DDB" w:rsidRDefault="00983DDB" w:rsidP="00983DDB">
      <w:pPr>
        <w:spacing w:after="0" w:line="240" w:lineRule="auto"/>
      </w:pPr>
      <w:r>
        <w:separator/>
      </w:r>
    </w:p>
  </w:endnote>
  <w:endnote w:type="continuationSeparator" w:id="0">
    <w:p w14:paraId="19203EDF" w14:textId="77777777" w:rsidR="00983DDB" w:rsidRDefault="00983DDB" w:rsidP="00983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D1FD8" w14:textId="77777777" w:rsidR="00983DDB" w:rsidRDefault="00983DDB" w:rsidP="00983DDB">
      <w:pPr>
        <w:spacing w:after="0" w:line="240" w:lineRule="auto"/>
      </w:pPr>
      <w:r>
        <w:separator/>
      </w:r>
    </w:p>
  </w:footnote>
  <w:footnote w:type="continuationSeparator" w:id="0">
    <w:p w14:paraId="768EE9FC" w14:textId="77777777" w:rsidR="00983DDB" w:rsidRDefault="00983DDB" w:rsidP="00983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5ADB" w14:textId="27C6E26F" w:rsidR="00983DDB" w:rsidRDefault="00983DDB">
    <w:pPr>
      <w:pStyle w:val="Nagwek"/>
    </w:pPr>
    <w:r>
      <w:rPr>
        <w:noProof/>
      </w:rPr>
      <w:drawing>
        <wp:inline distT="0" distB="0" distL="0" distR="0" wp14:anchorId="13E97BCB" wp14:editId="67FEC0CF">
          <wp:extent cx="5753100" cy="857250"/>
          <wp:effectExtent l="0" t="0" r="0" b="0"/>
          <wp:docPr id="1" name="Obraz 1" descr="Logotypy: FERC, RP,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: FERC, RP,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25579"/>
    <w:multiLevelType w:val="hybridMultilevel"/>
    <w:tmpl w:val="00249D34"/>
    <w:lvl w:ilvl="0" w:tplc="7116EF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C688D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F51"/>
    <w:rsid w:val="00077018"/>
    <w:rsid w:val="0013216B"/>
    <w:rsid w:val="001A297A"/>
    <w:rsid w:val="001C5F51"/>
    <w:rsid w:val="001E11C7"/>
    <w:rsid w:val="002B788A"/>
    <w:rsid w:val="0044572C"/>
    <w:rsid w:val="005817B8"/>
    <w:rsid w:val="007F531A"/>
    <w:rsid w:val="00900642"/>
    <w:rsid w:val="00983DDB"/>
    <w:rsid w:val="00993429"/>
    <w:rsid w:val="009F42EC"/>
    <w:rsid w:val="00A44045"/>
    <w:rsid w:val="00AB1812"/>
    <w:rsid w:val="00AD68F7"/>
    <w:rsid w:val="00B06762"/>
    <w:rsid w:val="00CE71FA"/>
    <w:rsid w:val="00DE6B83"/>
    <w:rsid w:val="00F0509D"/>
    <w:rsid w:val="00F1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E8EEE"/>
  <w15:chartTrackingRefBased/>
  <w15:docId w15:val="{94AAA449-B688-482E-AFFE-C401FD33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3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DDB"/>
  </w:style>
  <w:style w:type="paragraph" w:styleId="Stopka">
    <w:name w:val="footer"/>
    <w:basedOn w:val="Normalny"/>
    <w:link w:val="StopkaZnak"/>
    <w:uiPriority w:val="99"/>
    <w:unhideWhenUsed/>
    <w:rsid w:val="00983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DDB"/>
  </w:style>
  <w:style w:type="paragraph" w:customStyle="1" w:styleId="body">
    <w:name w:val="body"/>
    <w:basedOn w:val="Normalny"/>
    <w:rsid w:val="00900642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="Courier New" w:eastAsia="Times New Roman" w:hAnsi="Courier New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B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B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B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971CCE59501D4B93DFA1B7B9AE8151" ma:contentTypeVersion="0" ma:contentTypeDescription="Utwórz nowy dokument." ma:contentTypeScope="" ma:versionID="7cf21caecb70b38b4a062a0732b425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82376ffa0a1af1477dd8d54251863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FA388-5D29-4DDC-B834-B07B05B47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23181-F456-4611-8090-E5C51A22D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8F82E6-56B7-48A7-BB83-9C9261F116EF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Czartoryska-Ostrowska Marta</dc:creator>
  <cp:keywords/>
  <dc:description/>
  <cp:lastModifiedBy>Rudalska Aneta</cp:lastModifiedBy>
  <cp:revision>19</cp:revision>
  <dcterms:created xsi:type="dcterms:W3CDTF">2023-01-30T01:00:00Z</dcterms:created>
  <dcterms:modified xsi:type="dcterms:W3CDTF">2024-04-12T12:03:00Z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0x0101005A971CCE59501D4B93DFA1B7B9AE8151</vt:lpwstr>
  </property>
</Properties>
</file>